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4DF2" w:rsidRDefault="007A1A2C">
      <w:pPr>
        <w:shd w:val="clear" w:color="auto" w:fill="FFFFFF"/>
        <w:spacing w:after="0" w:line="240" w:lineRule="auto"/>
        <w:jc w:val="center"/>
        <w:rPr>
          <w:rFonts w:ascii="Garamond" w:eastAsia="Garamond" w:hAnsi="Garamond" w:cs="Garamond"/>
          <w:b/>
          <w:color w:val="333333"/>
          <w:sz w:val="32"/>
          <w:szCs w:val="32"/>
        </w:rPr>
      </w:pPr>
      <w:r>
        <w:rPr>
          <w:rFonts w:ascii="Garamond" w:eastAsia="Garamond" w:hAnsi="Garamond" w:cs="Garamond"/>
          <w:b/>
          <w:color w:val="333333"/>
          <w:sz w:val="32"/>
          <w:szCs w:val="32"/>
        </w:rPr>
        <w:t>Assessment Item Sort Directions</w:t>
      </w:r>
      <w:bookmarkStart w:id="0" w:name="_GoBack"/>
      <w:bookmarkEnd w:id="0"/>
    </w:p>
    <w:p w14:paraId="00000002" w14:textId="77777777" w:rsidR="00344DF2" w:rsidRDefault="00344DF2">
      <w:pPr>
        <w:shd w:val="clear" w:color="auto" w:fill="FFFFFF"/>
        <w:spacing w:after="0" w:line="240" w:lineRule="auto"/>
        <w:jc w:val="center"/>
        <w:rPr>
          <w:rFonts w:ascii="Garamond" w:eastAsia="Garamond" w:hAnsi="Garamond" w:cs="Garamond"/>
          <w:b/>
          <w:color w:val="333333"/>
          <w:sz w:val="28"/>
          <w:szCs w:val="28"/>
        </w:rPr>
      </w:pPr>
    </w:p>
    <w:p w14:paraId="00000003" w14:textId="5F0473E1" w:rsidR="00344DF2" w:rsidRDefault="007A1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Work with a team at your table to calculate the cognitiv</w:t>
      </w:r>
      <w:r w:rsidR="009D45A9">
        <w:rPr>
          <w:rFonts w:ascii="Garamond" w:eastAsia="Garamond" w:hAnsi="Garamond" w:cs="Garamond"/>
          <w:color w:val="333333"/>
          <w:sz w:val="28"/>
          <w:szCs w:val="28"/>
        </w:rPr>
        <w:t>e depth of each assessment item based on Webb’s DOK.</w:t>
      </w:r>
    </w:p>
    <w:p w14:paraId="00000004" w14:textId="77777777" w:rsidR="00344DF2" w:rsidRDefault="00344D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Garamond" w:eastAsia="Garamond" w:hAnsi="Garamond" w:cs="Garamond"/>
          <w:color w:val="333333"/>
          <w:sz w:val="28"/>
          <w:szCs w:val="28"/>
        </w:rPr>
      </w:pPr>
    </w:p>
    <w:p w14:paraId="00000005" w14:textId="149559D7" w:rsidR="00344DF2" w:rsidRDefault="009D45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Place the cards</w:t>
      </w:r>
      <w:r w:rsidR="007A1A2C">
        <w:rPr>
          <w:rFonts w:ascii="Garamond" w:eastAsia="Garamond" w:hAnsi="Garamond" w:cs="Garamond"/>
          <w:color w:val="333333"/>
          <w:sz w:val="28"/>
          <w:szCs w:val="28"/>
        </w:rPr>
        <w:t xml:space="preserve"> into </w:t>
      </w:r>
      <w:r>
        <w:rPr>
          <w:rFonts w:ascii="Garamond" w:eastAsia="Garamond" w:hAnsi="Garamond" w:cs="Garamond"/>
          <w:color w:val="333333"/>
          <w:sz w:val="28"/>
          <w:szCs w:val="28"/>
        </w:rPr>
        <w:t>piles according to cognitive depth levels</w:t>
      </w:r>
      <w:r w:rsidR="007A1A2C">
        <w:rPr>
          <w:rFonts w:ascii="Garamond" w:eastAsia="Garamond" w:hAnsi="Garamond" w:cs="Garamond"/>
          <w:color w:val="333333"/>
          <w:sz w:val="28"/>
          <w:szCs w:val="28"/>
        </w:rPr>
        <w:t xml:space="preserve">. Some tasks are easily categorized, but some will require deeper discussion to clarify your understanding of the levels. Strive toward consensus. </w:t>
      </w:r>
    </w:p>
    <w:p w14:paraId="00000006" w14:textId="77777777" w:rsidR="00344DF2" w:rsidRDefault="00344D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Garamond" w:eastAsia="Garamond" w:hAnsi="Garamond" w:cs="Garamond"/>
          <w:color w:val="333333"/>
          <w:sz w:val="28"/>
          <w:szCs w:val="28"/>
        </w:rPr>
      </w:pPr>
    </w:p>
    <w:p w14:paraId="00000007" w14:textId="77777777" w:rsidR="00344DF2" w:rsidRDefault="007A1A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Choose an item from each depth-of-knowledge level. Use a note card to explain your team’s reasoning for categorizing the item at the chosen level and attach the note card to the item.</w:t>
      </w:r>
    </w:p>
    <w:p w14:paraId="00000008" w14:textId="77777777" w:rsidR="00344DF2" w:rsidRDefault="00344DF2">
      <w:pP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bookmarkStart w:id="1" w:name="_heading=h.z39lui2aqk0j" w:colFirst="0" w:colLast="0"/>
      <w:bookmarkEnd w:id="1"/>
    </w:p>
    <w:p w14:paraId="00000009" w14:textId="77777777" w:rsidR="00344DF2" w:rsidRDefault="00344DF2">
      <w:pP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bookmarkStart w:id="2" w:name="_heading=h.6j38gfsexf8r" w:colFirst="0" w:colLast="0"/>
      <w:bookmarkEnd w:id="2"/>
    </w:p>
    <w:p w14:paraId="0000000A" w14:textId="77777777" w:rsidR="00344DF2" w:rsidRDefault="00344DF2">
      <w:pP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bookmarkStart w:id="3" w:name="_heading=h.j2an8cyjd6mf" w:colFirst="0" w:colLast="0"/>
      <w:bookmarkEnd w:id="3"/>
    </w:p>
    <w:p w14:paraId="0000000B" w14:textId="77777777" w:rsidR="00344DF2" w:rsidRDefault="007A1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A few pointers:</w:t>
      </w:r>
    </w:p>
    <w:p w14:paraId="0000000C" w14:textId="77777777" w:rsidR="00344DF2" w:rsidRDefault="007A1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The verb does not define the level. Instead, consider the cognitive effort that a student will use to complete the task. The verb “describe,” for example, could be any level, depending on the kind of description.</w:t>
      </w:r>
    </w:p>
    <w:p w14:paraId="0000000D" w14:textId="77777777" w:rsidR="00344DF2" w:rsidRDefault="007A1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It is common to find tasks that seem to fall in between levels. When in doubt, assign the higher level.</w:t>
      </w:r>
    </w:p>
    <w:p w14:paraId="0000000E" w14:textId="77777777" w:rsidR="00344DF2" w:rsidRDefault="007A1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333333"/>
          <w:sz w:val="28"/>
          <w:szCs w:val="28"/>
        </w:rPr>
      </w:pPr>
      <w:r>
        <w:rPr>
          <w:rFonts w:ascii="Garamond" w:eastAsia="Garamond" w:hAnsi="Garamond" w:cs="Garamond"/>
          <w:color w:val="333333"/>
          <w:sz w:val="28"/>
          <w:szCs w:val="28"/>
        </w:rPr>
        <w:t>Extended time by itself does not make a task Level 4. Lower-level tasks that are merely repeated over a period of time are still lower level.</w:t>
      </w:r>
    </w:p>
    <w:p w14:paraId="0000000F" w14:textId="77777777" w:rsidR="00344DF2" w:rsidRDefault="00344D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Garamond" w:eastAsia="Garamond" w:hAnsi="Garamond" w:cs="Garamond"/>
          <w:color w:val="333333"/>
          <w:sz w:val="28"/>
          <w:szCs w:val="28"/>
        </w:rPr>
      </w:pPr>
    </w:p>
    <w:p w14:paraId="00000010" w14:textId="77777777" w:rsidR="00344DF2" w:rsidRDefault="00344D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Garamond" w:eastAsia="Garamond" w:hAnsi="Garamond" w:cs="Garamond"/>
          <w:color w:val="333333"/>
          <w:sz w:val="28"/>
          <w:szCs w:val="28"/>
        </w:rPr>
      </w:pPr>
      <w:bookmarkStart w:id="4" w:name="_heading=h.gjdgxs" w:colFirst="0" w:colLast="0"/>
      <w:bookmarkEnd w:id="4"/>
    </w:p>
    <w:p w14:paraId="00000011" w14:textId="77777777" w:rsidR="00344DF2" w:rsidRDefault="00344DF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sectPr w:rsidR="00344D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F71"/>
    <w:multiLevelType w:val="multilevel"/>
    <w:tmpl w:val="E45C19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D0693"/>
    <w:multiLevelType w:val="multilevel"/>
    <w:tmpl w:val="AD04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2"/>
    <w:rsid w:val="00344DF2"/>
    <w:rsid w:val="00466CBB"/>
    <w:rsid w:val="007A1A2C"/>
    <w:rsid w:val="009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E582"/>
  <w15:docId w15:val="{4AF1F507-6F3E-4127-8472-22B90E0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4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3/ujP/LsDSYrmowPRh7NzJ7OA==">AMUW2mUtJ3fJFT6JbjPPKNgrnbjkyUz8zhAskqfURgMROxT0e3iwPlXRMPmZFYpX2eLJ3+1eHbfuQARG66y9C0wcIsEl4h234uIR8kJm13VAxdwCa9CJdBQyuxtrRknVLROuL+0K3aRViC+tpadGIyBnXa09ZHvdGiSbLHGrPElSqIaD/GXS2fimK8fZHRtVs65+S64eeJAp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Lamitie</dc:creator>
  <cp:lastModifiedBy>Jonathan Cornue</cp:lastModifiedBy>
  <cp:revision>3</cp:revision>
  <dcterms:created xsi:type="dcterms:W3CDTF">2020-01-22T16:07:00Z</dcterms:created>
  <dcterms:modified xsi:type="dcterms:W3CDTF">2020-01-24T13:43:00Z</dcterms:modified>
</cp:coreProperties>
</file>